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-113" w:firstLine="821"/>
        <w:jc w:val="right"/>
        <w:rPr/>
      </w:pPr>
      <w:r>
        <w:rPr>
          <w:b/>
        </w:rPr>
        <w:t xml:space="preserve">                                                                                  </w:t>
      </w:r>
      <w:r>
        <w:rPr>
          <w:b/>
        </w:rPr>
        <w:tab/>
        <w:t xml:space="preserve">  </w:t>
      </w:r>
      <w:r>
        <w:rPr/>
        <w:t>Приложение №__ к договору подряда</w:t>
      </w:r>
    </w:p>
    <w:p>
      <w:pPr>
        <w:pStyle w:val="Normal"/>
        <w:ind w:left="-113" w:firstLine="821"/>
        <w:jc w:val="center"/>
        <w:rPr/>
      </w:pPr>
      <w:r>
        <w:rPr/>
        <w:t xml:space="preserve">                                                                                   №</w:t>
      </w:r>
      <w:r>
        <w:rPr/>
        <w:t>_________________от_________</w:t>
      </w:r>
    </w:p>
    <w:p>
      <w:pPr>
        <w:pStyle w:val="Normal"/>
        <w:ind w:left="-113" w:firstLine="821"/>
        <w:jc w:val="right"/>
        <w:rPr/>
      </w:pPr>
      <w:r>
        <w:rPr/>
        <w:tab/>
        <w:tab/>
        <w:t xml:space="preserve">   </w:t>
      </w:r>
    </w:p>
    <w:p>
      <w:pPr>
        <w:pStyle w:val="Normal"/>
        <w:ind w:left="-113" w:firstLine="821"/>
        <w:jc w:val="right"/>
        <w:rPr/>
      </w:pPr>
      <w:r>
        <w:rPr>
          <w:b/>
        </w:rPr>
        <w:t xml:space="preserve">                                </w:t>
      </w:r>
      <w:r>
        <w:rPr>
          <w:b/>
        </w:rPr>
        <w:t>УТВЕРЖДАЮ</w:t>
      </w:r>
    </w:p>
    <w:p>
      <w:pPr>
        <w:pStyle w:val="Normal"/>
        <w:ind w:left="-113" w:hanging="0"/>
        <w:jc w:val="right"/>
        <w:rPr/>
      </w:pPr>
      <w:r>
        <w:rPr/>
        <w:tab/>
        <w:tab/>
        <w:t xml:space="preserve">                                    </w:t>
        <w:tab/>
        <w:tab/>
        <w:tab/>
        <w:t xml:space="preserve">      Главный управляющий директор</w:t>
      </w:r>
    </w:p>
    <w:p>
      <w:pPr>
        <w:pStyle w:val="Normal"/>
        <w:ind w:left="6973" w:hanging="2017"/>
        <w:jc w:val="right"/>
        <w:rPr/>
      </w:pPr>
      <w:r>
        <w:rPr/>
        <w:t xml:space="preserve">      </w:t>
      </w:r>
      <w:r>
        <w:rPr/>
        <w:t>ООО «Самарские коммунальные системы»</w:t>
      </w:r>
    </w:p>
    <w:p>
      <w:pPr>
        <w:pStyle w:val="Normal"/>
        <w:ind w:left="6973" w:hanging="7080"/>
        <w:jc w:val="right"/>
        <w:rPr/>
      </w:pPr>
      <w:r>
        <w:rPr/>
      </w:r>
    </w:p>
    <w:p>
      <w:pPr>
        <w:pStyle w:val="Normal"/>
        <w:ind w:left="5664" w:hanging="0"/>
        <w:jc w:val="right"/>
        <w:rPr/>
      </w:pPr>
      <w:r>
        <w:rPr/>
        <w:t xml:space="preserve">        </w:t>
      </w:r>
      <w:r>
        <w:rPr/>
        <w:t>______________ В.В. Бирюков</w:t>
      </w:r>
    </w:p>
    <w:p>
      <w:pPr>
        <w:pStyle w:val="Normal"/>
        <w:ind w:left="7080" w:hanging="7080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1"/>
        <w:rPr/>
      </w:pPr>
      <w:r>
        <w:rPr>
          <w:rFonts w:cs="Times New Roman" w:ascii="Times New Roman" w:hAnsi="Times New Roman"/>
        </w:rPr>
        <w:t>ТЕХНИЧЕСКОЕ ЗАДАНИЕ № СКС-202</w:t>
      </w:r>
      <w:r>
        <w:rPr>
          <w:rFonts w:cs="Times New Roman" w:ascii="Times New Roman" w:hAnsi="Times New Roman"/>
          <w:lang w:val="en-US"/>
        </w:rPr>
        <w:t>1</w:t>
      </w:r>
      <w:r>
        <w:rPr>
          <w:rFonts w:cs="Times New Roman" w:ascii="Times New Roman" w:hAnsi="Times New Roman"/>
        </w:rPr>
        <w:t>-ХВ-ИП-6.1.19.2.</w:t>
      </w:r>
      <w:r>
        <w:rPr>
          <w:rFonts w:cs="Times New Roman" w:ascii="Times New Roman" w:hAnsi="Times New Roman"/>
          <w:lang w:val="ru-RU"/>
        </w:rPr>
        <w:t>7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На выполнение строительно-монтажных работ по объекту: </w:t>
      </w:r>
      <w:r>
        <w:rPr>
          <w:bCs/>
          <w:sz w:val="24"/>
          <w:szCs w:val="24"/>
        </w:rPr>
        <w:t>«Мероприятия, направленные на подключение объектов капитального строительства к системе водоснабжения</w:t>
      </w:r>
      <w:r>
        <w:rPr>
          <w:sz w:val="24"/>
          <w:szCs w:val="24"/>
        </w:rPr>
        <w:t>»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eastAsia="Times New Roman" w:cs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kern w:val="0"/>
          <w:sz w:val="24"/>
          <w:szCs w:val="24"/>
          <w:u w:val="none"/>
          <w:em w:val="none"/>
          <w:lang w:val="ru-RU" w:eastAsia="zh-CN" w:bidi="ar-SA"/>
        </w:rPr>
        <w:t>«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kern w:val="0"/>
          <w:sz w:val="24"/>
          <w:szCs w:val="24"/>
          <w:u w:val="none"/>
          <w:em w:val="none"/>
          <w:lang w:val="ru-RU" w:eastAsia="zh-CN" w:bidi="ar-SA"/>
        </w:rPr>
        <w:t>П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4"/>
          <w:szCs w:val="24"/>
          <w:u w:val="none"/>
          <w:em w:val="none"/>
        </w:rPr>
        <w:t>роизводственное здание и нежилое помещение, расположенн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4"/>
          <w:szCs w:val="24"/>
          <w:u w:val="none"/>
          <w:em w:val="none"/>
        </w:rPr>
        <w:t>ые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4"/>
          <w:szCs w:val="24"/>
          <w:u w:val="none"/>
          <w:em w:val="none"/>
        </w:rPr>
        <w:t xml:space="preserve"> по адресу: г. Самара, Железнодорожный район, ул. Неверова, 39</w:t>
      </w:r>
      <w:r>
        <w:rPr>
          <w:rFonts w:eastAsia="Times New Roman" w:cs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kern w:val="0"/>
          <w:sz w:val="24"/>
          <w:szCs w:val="24"/>
          <w:u w:val="none"/>
          <w:em w:val="none"/>
          <w:lang w:val="ru-RU" w:eastAsia="zh-CN" w:bidi="ar-SA"/>
        </w:rPr>
        <w:t>»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10209" w:type="dxa"/>
        <w:jc w:val="left"/>
        <w:tblInd w:w="-432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40"/>
        <w:gridCol w:w="3317"/>
        <w:gridCol w:w="6352"/>
      </w:tblGrid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 xml:space="preserve">№ </w:t>
            </w:r>
            <w:r>
              <w:rPr/>
              <w:t>п/п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Перечень основных данных и требований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Содержание основных данных и требований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Заказчик (наименование, адрес, платежные и контактные реквизиты)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76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ООО «Самарские коммунальные системы»</w:t>
            </w:r>
          </w:p>
          <w:p>
            <w:pPr>
              <w:pStyle w:val="Normal"/>
              <w:spacing w:lineRule="auto" w:line="276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Почтовый адрес: 443056, г. Самара, ул. Луначарского,  д.56</w:t>
            </w:r>
          </w:p>
          <w:p>
            <w:pPr>
              <w:pStyle w:val="Normal"/>
              <w:spacing w:lineRule="auto" w:line="276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ИНН 6312110828 КПП 631050001</w:t>
            </w:r>
          </w:p>
          <w:p>
            <w:pPr>
              <w:pStyle w:val="Normal"/>
              <w:spacing w:lineRule="auto" w:line="276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ОГРН 1116312008340</w:t>
            </w:r>
          </w:p>
          <w:p>
            <w:pPr>
              <w:pStyle w:val="Normal"/>
              <w:spacing w:lineRule="auto" w:line="276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Р\С 40702810903370000034</w:t>
            </w:r>
          </w:p>
          <w:p>
            <w:pPr>
              <w:pStyle w:val="Normal"/>
              <w:spacing w:lineRule="auto" w:line="276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Филиал ГПБ в г. Самаре</w:t>
            </w:r>
          </w:p>
          <w:p>
            <w:pPr>
              <w:pStyle w:val="Normal"/>
              <w:spacing w:lineRule="auto" w:line="276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К/с 30101810000000000917</w:t>
            </w:r>
          </w:p>
          <w:p>
            <w:pPr>
              <w:pStyle w:val="Normal"/>
              <w:spacing w:lineRule="auto" w:line="276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БИК 043601917</w:t>
            </w:r>
          </w:p>
          <w:p>
            <w:pPr>
              <w:pStyle w:val="Normal"/>
              <w:spacing w:lineRule="auto" w:line="276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Главный управляющий директор Бирюков Владимир Вячеславович,</w:t>
            </w:r>
          </w:p>
          <w:p>
            <w:pPr>
              <w:pStyle w:val="Normal"/>
              <w:spacing w:lineRule="auto" w:line="276"/>
              <w:jc w:val="both"/>
              <w:rPr/>
            </w:pPr>
            <w:r>
              <w:rPr>
                <w:rFonts w:cs="Tahoma"/>
              </w:rPr>
              <w:t>действует на основании доверенности №2</w:t>
            </w:r>
            <w:r>
              <w:rPr>
                <w:rFonts w:cs="Tahoma"/>
                <w:lang w:val="en-US"/>
              </w:rPr>
              <w:t>0</w:t>
            </w:r>
            <w:r>
              <w:rPr>
                <w:rFonts w:cs="Tahoma"/>
              </w:rPr>
              <w:t xml:space="preserve"> от </w:t>
            </w:r>
            <w:r>
              <w:rPr>
                <w:rFonts w:cs="Tahoma"/>
                <w:lang w:val="en-US"/>
              </w:rPr>
              <w:t>20.02.2021г</w:t>
            </w:r>
            <w:r>
              <w:rPr>
                <w:rFonts w:cs="Tahoma"/>
              </w:rPr>
              <w:t>. т.+7(846)336-14-02, факс +7(846)336-89-05</w:t>
            </w:r>
          </w:p>
          <w:p>
            <w:pPr>
              <w:pStyle w:val="Normal"/>
              <w:spacing w:before="0" w:after="40"/>
              <w:jc w:val="both"/>
              <w:rPr/>
            </w:pPr>
            <w:r>
              <w:rPr>
                <w:rFonts w:cs="Tahoma"/>
              </w:rPr>
              <w:t>е</w:t>
            </w:r>
            <w:r>
              <w:rPr>
                <w:rFonts w:cs="Tahoma"/>
                <w:lang w:val="en-US"/>
              </w:rPr>
              <w:t xml:space="preserve">-mail: </w:t>
            </w:r>
            <w:hyperlink r:id="rId2">
              <w:r>
                <w:rPr>
                  <w:rStyle w:val="Style13"/>
                  <w:rFonts w:cs="Tahoma"/>
                  <w:color w:val="00000A"/>
                  <w:lang w:val="en-US"/>
                </w:rPr>
                <w:t>oks@samcomsys.ru</w:t>
              </w:r>
            </w:hyperlink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Основание для проведения работ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yle19"/>
              <w:ind w:left="0" w:hanging="0"/>
              <w:jc w:val="both"/>
              <w:rPr/>
            </w:pPr>
            <w:r>
              <w:rPr>
                <w:rFonts w:cs="Times New Roman" w:ascii="Times New Roman" w:hAnsi="Times New Roman"/>
                <w:bCs/>
              </w:rPr>
              <w:t>Договор о подключении (технологическом присоединении) к централизованной системе холодного водоснабжения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Наименование и местоположение объекта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BodyTextIndent2"/>
              <w:spacing w:lineRule="auto" w:line="240" w:before="0" w:after="0"/>
              <w:ind w:left="0" w:hanging="0"/>
              <w:jc w:val="both"/>
              <w:rPr/>
            </w:pPr>
            <w:r>
              <w:rPr>
                <w:bCs/>
              </w:rPr>
              <w:t>Наименование: водопроводная линия для подключения объектов капитального строительства к централизованной системе водоснабжения</w:t>
            </w:r>
            <w:r>
              <w:rPr/>
              <w:t>.</w:t>
            </w:r>
          </w:p>
          <w:p>
            <w:pPr>
              <w:pStyle w:val="Normal"/>
              <w:jc w:val="both"/>
              <w:rPr/>
            </w:pPr>
            <w:r>
              <w:rPr>
                <w:bCs/>
              </w:rPr>
              <w:t xml:space="preserve">Местоположение: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zh-CN" w:bidi="ar-SA"/>
              </w:rPr>
              <w:t>г. Самара, Железнодорожный район, ул. Неверова, 39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Источник финансирования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BodyTextIndent2"/>
              <w:spacing w:lineRule="auto" w:line="240" w:before="120" w:after="120"/>
              <w:ind w:left="0" w:hanging="0"/>
              <w:rPr>
                <w:bCs/>
              </w:rPr>
            </w:pPr>
            <w:r>
              <w:rPr>
                <w:bCs/>
              </w:rPr>
              <w:t>Плата за подключение (технологическое присоединение) к централизованной системе холодного водоснабжения.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Цель и назначение работы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yle19"/>
              <w:ind w:left="0" w:hanging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Устройство водопроводных сетей </w:t>
            </w:r>
            <w:r>
              <w:rPr>
                <w:rFonts w:cs="Times New Roman" w:ascii="Times New Roman" w:hAnsi="Times New Roman"/>
                <w:bCs/>
              </w:rPr>
              <w:t>для подключения (технологического присоединения) к централизованной системе холодного водоснабжения объекта присоединения.</w:t>
            </w:r>
          </w:p>
        </w:tc>
      </w:tr>
      <w:tr>
        <w:trPr>
          <w:trHeight w:val="1440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6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Основные технико-экономические показатели и характеристики объекта, в том числе мощность и производительность, для линейных сооружений - протяженность, условный диаметр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367"/>
                <w:tab w:val="left" w:pos="5145" w:leader="none"/>
              </w:tabs>
              <w:snapToGrid w:val="false"/>
              <w:jc w:val="both"/>
              <w:rPr/>
            </w:pP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В соответствии с </w:t>
            </w:r>
            <w:bookmarkStart w:id="0" w:name="__DdeLink__634_2072847010"/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разработанной</w:t>
            </w: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 проект</w:t>
            </w: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ной документацией</w:t>
            </w:r>
            <w:bookmarkEnd w:id="0"/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7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Режим работы производства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yle19"/>
              <w:spacing w:before="120" w:after="120"/>
              <w:ind w:left="0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Непрерывный, без обслуживающего персонала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Состав работ, выполняемых заказчиком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jc w:val="both"/>
              <w:rPr/>
            </w:pPr>
            <w:r>
              <w:rPr/>
              <w:t>Отключение участка водопроводной сети, переключение абонентов (при необходимости).</w:t>
            </w:r>
          </w:p>
        </w:tc>
      </w:tr>
      <w:tr>
        <w:trPr>
          <w:trHeight w:val="425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9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Состав и вид работ, выполняемых подрядчиком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 xml:space="preserve">Выполнение комплекса работ по подключению в соответствии с </w:t>
            </w: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разработанной</w:t>
            </w: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 проект</w:t>
            </w: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ной документацией</w:t>
            </w:r>
            <w:r>
              <w:rPr/>
              <w:t>.</w:t>
            </w:r>
          </w:p>
          <w:p>
            <w:pPr>
              <w:pStyle w:val="Normal"/>
              <w:jc w:val="both"/>
              <w:rPr/>
            </w:pPr>
            <w:r>
              <w:rPr>
                <w:iCs/>
                <w:color w:val="000000" w:themeColor="text1"/>
                <w:spacing w:val="-6"/>
              </w:rPr>
              <w:t>1. Подрядчик самостоятельно (за свой счет) проводит согласование проектной документации и необходимые согласования для получения ордера на производство земляных работ.</w:t>
            </w:r>
          </w:p>
          <w:p>
            <w:pPr>
              <w:pStyle w:val="Normal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 Разрабатывает  и согласовывает с заказчиком детальный график производства работ в течение 5 дней после подписания договора.</w:t>
            </w:r>
          </w:p>
          <w:p>
            <w:pPr>
              <w:pStyle w:val="Normal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 Разрабатывает  и согласовывает с заказчиком проект производства работ (ППР) в течение 5 дней после подписания договора.</w:t>
            </w:r>
          </w:p>
          <w:p>
            <w:pPr>
              <w:pStyle w:val="Normal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 Разрабатывает и согласовывает с УГИБДД схему организации безопасности дорожного движения.</w:t>
            </w:r>
          </w:p>
          <w:p>
            <w:pPr>
              <w:pStyle w:val="Normal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 Выполняет работы подготовительного периода:</w:t>
            </w:r>
          </w:p>
          <w:p>
            <w:pPr>
              <w:pStyle w:val="Normal"/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Ограждение территории строительной площадки;</w:t>
            </w:r>
          </w:p>
          <w:p>
            <w:pPr>
              <w:pStyle w:val="Normal"/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Уточнение и закрепление на местности существующих подземных коммуникаций;</w:t>
            </w:r>
          </w:p>
          <w:p>
            <w:pPr>
              <w:pStyle w:val="Normal"/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Доставка строительных материалов;</w:t>
            </w:r>
          </w:p>
          <w:p>
            <w:pPr>
              <w:pStyle w:val="Normal"/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Оборудование специально отведенных мест для нужд пожаротушения;</w:t>
            </w:r>
          </w:p>
          <w:p>
            <w:pPr>
              <w:pStyle w:val="Normal"/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Оборудование мест для сбора и временного хранения строительных отходов и бытового мусора</w:t>
            </w:r>
          </w:p>
          <w:p>
            <w:pPr>
              <w:pStyle w:val="Normal"/>
              <w:tabs>
                <w:tab w:val="clear" w:pos="367"/>
                <w:tab w:val="left" w:pos="5145" w:leader="none"/>
              </w:tabs>
              <w:snapToGrid w:val="false"/>
              <w:jc w:val="both"/>
              <w:rPr/>
            </w:pPr>
            <w:r>
              <w:rPr>
                <w:color w:val="000000" w:themeColor="text1"/>
              </w:rPr>
              <w:t xml:space="preserve">6.Выполняет </w:t>
            </w:r>
            <w:r>
              <w:rPr>
                <w:rFonts w:eastAsia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комплекс работ</w:t>
            </w:r>
            <w:r>
              <w:rPr>
                <w:color w:val="000000" w:themeColor="text1"/>
              </w:rPr>
              <w:t xml:space="preserve"> в соответствии с </w:t>
            </w: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 w:themeColor="text1"/>
                <w:sz w:val="24"/>
                <w:szCs w:val="24"/>
                <w:u w:val="none"/>
                <w:em w:val="none"/>
              </w:rPr>
              <w:t>разработанной</w:t>
            </w: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 w:themeColor="text1"/>
                <w:sz w:val="24"/>
                <w:szCs w:val="24"/>
                <w:u w:val="none"/>
                <w:em w:val="none"/>
              </w:rPr>
              <w:t xml:space="preserve"> проект</w:t>
            </w: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 w:themeColor="text1"/>
                <w:sz w:val="24"/>
                <w:szCs w:val="24"/>
                <w:u w:val="none"/>
                <w:em w:val="none"/>
              </w:rPr>
              <w:t>ной документацией</w:t>
            </w:r>
            <w:r>
              <w:rPr>
                <w:color w:val="000000" w:themeColor="text1"/>
              </w:rPr>
              <w:t>.</w:t>
            </w:r>
          </w:p>
          <w:p>
            <w:pPr>
              <w:pStyle w:val="Normal"/>
              <w:jc w:val="both"/>
              <w:rPr/>
            </w:pPr>
            <w:r>
              <w:rPr/>
              <w:t>7.Обеспечивает присутствие в процессе выполнения работ всех необходимых служб и заинтересованных организаций (газ, связь, электросеть, МПП ВКХ, правообладатели земельных участков и др.), без ведома которых производство работ запрещено, а также при необходимости (в соответствии с требованиями УГИБДД УВД) выполняет установку дорожных знаков при проведении работ на проезжей части дорог, оплачивает снос зеленых насаждений, если такая необходимость возникает.</w:t>
            </w:r>
          </w:p>
          <w:p>
            <w:pPr>
              <w:pStyle w:val="Normal"/>
              <w:jc w:val="both"/>
              <w:rPr/>
            </w:pPr>
            <w:r>
              <w:rPr/>
              <w:t>8. Сдача территории после выполнения благоустройства</w:t>
            </w:r>
          </w:p>
          <w:p>
            <w:pPr>
              <w:pStyle w:val="Normal"/>
              <w:jc w:val="both"/>
              <w:rPr/>
            </w:pPr>
            <w:r>
              <w:rPr/>
              <w:t>собственнику по акту. Закрытие разрешения на производство работ.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/>
              <w:t xml:space="preserve">9. </w:t>
            </w:r>
            <w:r>
              <w:rPr>
                <w:rFonts w:cs="Tahoma"/>
                <w:spacing w:val="1"/>
              </w:rPr>
              <w:t>Работы выполнять в соответствии с Постановлением Главы г.о. Самара от 08.08.2019 г. № 444 (с изменениями и дополнениями действующими на момент производства работ)</w:t>
            </w:r>
          </w:p>
        </w:tc>
      </w:tr>
      <w:tr>
        <w:trPr>
          <w:trHeight w:val="1142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10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к используемому оборудованию (включая источник поставки – заказчик /подрядчик, гарантийные требования, сроки поставки и пр.)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 xml:space="preserve">Поставку материалов осуществляет подрядчик. Тип и наименование – в соответствии с согласованным проектом. Гарантийный срок на запорную арматуру должен составлять 10 лет. 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11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Состав разделов документации и требования к их содержанию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120" w:after="0"/>
              <w:jc w:val="both"/>
              <w:rPr/>
            </w:pPr>
            <w:r>
              <w:rPr/>
              <w:t>1. Сопроводительное письмо от подрядчика с указанием исполнителей работ и ответственных, о прохождении инструктажа, удостоверений подтверждающих право проведения работ, список техники. Приказы на ответственных работников.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2. Исполнительная документация в соответствии с Приложением №1 к ТЗ.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3. В состав исполнительной документации приложить: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- свидетельство, выданное саморегулируемой организацией на выполнение строительно-монтажных работ;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- сертификаты на применяемые материалы и оборудование;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- исполнительную съемку сети водоснабжения, выполненную МП г.о. Самара «Архитектурно-планировочное бюро» .</w:t>
            </w:r>
          </w:p>
          <w:p>
            <w:pPr>
              <w:pStyle w:val="Normal"/>
              <w:spacing w:before="0" w:after="120"/>
              <w:ind w:left="45" w:hanging="0"/>
              <w:jc w:val="both"/>
              <w:rPr/>
            </w:pPr>
            <w:r>
              <w:rPr/>
              <w:t xml:space="preserve">4. Акт выполненных работ по форме КС-2, справка о стоимости работ по форме КС-3, </w:t>
            </w:r>
            <w:r>
              <w:rPr>
                <w:color w:val="000000" w:themeColor="text1"/>
              </w:rPr>
              <w:t>акт о приеме передаче сооружения ОС-1а, акт приемки законченного строительством объекта КС-11</w:t>
            </w:r>
            <w:r>
              <w:rPr/>
              <w:t>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12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Оформление принимаемых решений в ходе выполнения работ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istParagraph"/>
              <w:spacing w:lineRule="auto" w:line="240" w:before="12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1. Исполнитель до производства работ согласовывает с Заказчиком в письменном виде все отклонения от проекта.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2. Изменение утвержденных проектных решений согласовывается Заказчиком и оформляется в письменном виде с уведомлением Исполнителя проектной документации.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>
                <w:color w:val="000000" w:themeColor="text1"/>
              </w:rPr>
              <w:t>3. Согласованные с Заказчиком изменения  отражаются в  исполнительной документации.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13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к технологическим решениям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120" w:after="120"/>
              <w:jc w:val="both"/>
              <w:rPr/>
            </w:pPr>
            <w:r>
              <w:rPr/>
              <w:t>В соответствии с проектной документацией, техническим заданием, разработанным ППР, действующими федеральными законами, техническими регламентами, нормами и правилами, и др. нормативными документами.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14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Исходные данные для выполнения работ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Разработанная</w:t>
            </w: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 проект</w:t>
            </w: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ная документация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  <w:r>
              <w:rPr/>
              <w:t>5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к природоохранным мероприятиям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0"/>
              <w:jc w:val="both"/>
              <w:rPr/>
            </w:pPr>
            <w:r>
              <w:rPr/>
              <w:t>В соответствии с требованиями природоохранных документов, Законодательства и проектом.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/>
              <w:t>Обязательное условие – полная уборка и утилизация непригодных материалов.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  <w:r>
              <w:rPr/>
              <w:t>6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к архитектурным, конструктивным и объемно-планировочным решениям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both"/>
              <w:rPr/>
            </w:pPr>
            <w:bookmarkStart w:id="1" w:name="__DdeLink__13065_1746079678"/>
            <w:r>
              <w:rPr/>
              <w:t xml:space="preserve">В соответствии с </w:t>
            </w:r>
            <w:bookmarkEnd w:id="1"/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разработанной</w:t>
            </w: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 проект</w:t>
            </w: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ной документацией</w:t>
            </w:r>
          </w:p>
        </w:tc>
      </w:tr>
      <w:tr>
        <w:trPr>
          <w:trHeight w:val="689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  <w:r>
              <w:rPr/>
              <w:t>7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к схеме планировочной организации земельного участка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 xml:space="preserve">В соответствии с </w:t>
            </w: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разработанной</w:t>
            </w: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 проект</w:t>
            </w: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ной документацией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  <w:r>
              <w:rPr/>
              <w:t>8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Технические требования к технологическому оборудованию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 xml:space="preserve">В соответствии с </w:t>
            </w: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разработанной</w:t>
            </w: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 проект</w:t>
            </w: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ной документацией</w:t>
            </w:r>
          </w:p>
        </w:tc>
      </w:tr>
      <w:tr>
        <w:trPr>
          <w:trHeight w:val="274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19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по утилизации (захоронению) отходов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jc w:val="both"/>
              <w:rPr/>
            </w:pPr>
            <w:r>
              <w:rPr>
                <w:rFonts w:cs="Tahoma"/>
                <w:bCs/>
                <w:color w:val="000000"/>
              </w:rPr>
              <w:t xml:space="preserve">Образующиеся в процессе работ отходы (за исключением лома цветных и черных металлов) переходят в собственность к подрядчику с момента их образования. Подрядчик обеспечивает соблюдение требований  постановления Администрации г.о. Самара от 26.07.2011 №832 </w:t>
            </w:r>
            <w:r>
              <w:rPr>
                <w:rFonts w:cs="Tahoma"/>
                <w:spacing w:val="1"/>
              </w:rPr>
              <w:t>(с изменениями и дополнениями действующими на момент производства)</w:t>
            </w:r>
            <w:r>
              <w:rPr>
                <w:rFonts w:cs="Tahoma"/>
                <w:bCs/>
                <w:color w:val="000000"/>
              </w:rPr>
              <w:t xml:space="preserve"> и действующего законодательства в области обращения с отходами, в области охраны  окружающей среды, несет ответственность, за вывоз, безопасную  утилизацию, размещение, за внесение платы за негативное воздействие на окружающую среду в результате размещения образованных отходов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  <w:r>
              <w:rPr/>
              <w:t>0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к разработке инженерно-технических мероприятий гражданской оборы и мероприятий по предупреждению чрезвычайных ситуаций (ИТМ ГОЧС)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>В соответствии с требованиями нормативно-технических документов и действующего законодательства.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  <w:r>
              <w:rPr/>
              <w:t>1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Сроки выполнения работ (по основным этапам)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76"/>
              <w:jc w:val="both"/>
              <w:rPr/>
            </w:pPr>
            <w:r>
              <w:rPr>
                <w:rFonts w:cs="Tahoma"/>
              </w:rPr>
              <w:t>30 календарных дн</w:t>
            </w:r>
            <w:r>
              <w:rPr>
                <w:rFonts w:cs="Tahoma"/>
              </w:rPr>
              <w:t>ей</w:t>
            </w:r>
            <w:r>
              <w:rPr>
                <w:rFonts w:cs="Tahoma"/>
              </w:rPr>
              <w:t xml:space="preserve"> с момента получения разрешения на производство земляных работ.</w:t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</w:tr>
      <w:tr>
        <w:trPr>
          <w:trHeight w:val="611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  <w:r>
              <w:rPr/>
              <w:t>2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по согласованию проектной документации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>Все необходимые согласования выполняет исполнитель. Отступления от ПСД должны быть согласованы с Заказчиком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  <w:r>
              <w:rPr/>
              <w:t>3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к составу и содержанию документов, передаваемых подрядчиком заказчику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120" w:after="120"/>
              <w:jc w:val="both"/>
              <w:rPr/>
            </w:pPr>
            <w:r>
              <w:rPr/>
              <w:t>Техническая (исполнительная) документация по выполненным подрядным работам в полном объеме должна соответствовать требованиям нормативной документации и Градостроительного Кодекса РФ (Состав - в соответствии с перечнем - Приложение №1  настоящего ТЗ).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  <w:r>
              <w:rPr/>
              <w:t>4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по количеству экземпляров документации, передаваемой заказчику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120" w:after="0"/>
              <w:ind w:left="-63" w:right="-3" w:hanging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Исполнительная документация – 4 экз., в том числе 1 экз. – на электронном носителе.</w:t>
            </w:r>
          </w:p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-63" w:right="-3" w:hanging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Сертификаты качества, накладные на материалы и оборудование не учтённые в базе текущих сметных цен (ТССЦ).- 1 экз.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/>
              <w:t>Акты выполненных работ (КС-2, КС-3, ОС-1а, ОС-3, КС-11) - 3 экз.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  <w:r>
              <w:rPr/>
              <w:t>5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Дополнительные требования и особые условия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120" w:after="0"/>
              <w:jc w:val="both"/>
              <w:rPr/>
            </w:pPr>
            <w:r>
              <w:rPr/>
              <w:t>1. Подрядчик самостоятельно обеспечивает доступ к месту(ам) производства работ и проводит необходимые согласования со всеми службами, имеющими коммуникации в районе проведения работ.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2. Подрядчик предоставляет еженедельные фотоотчеты о проведении работ.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3. Отключение участков трубопровода производится Заказчиком строго по согласованному графику производства работ.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4. Ограждение мест производства работ выполнять в соответствии с техникой безопасности в строительстве  СНиП 12-03-01 «Безопасность труда в строительстве» с использованием для этого щитов ограждения, изготовленных по прилагаемому эскизу или взятых в аренду у заказчика. При необходимости выставить дорожные знаки, указатели, выполнить организацию объездных дорог, освещение.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5. Оформление ордера на земляные работы является обязанностью подрядчика.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6. В обязанности Подрядчика входят работы по гидравлическому испытанию, дезинфекции, промывке  сети водоснабжения и восстановлению благоустройства в полном объеме.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/>
              <w:t>7. Гарантия на выполненные работы 5 лет.</w:t>
            </w:r>
          </w:p>
        </w:tc>
      </w:tr>
    </w:tbl>
    <w:p>
      <w:pPr>
        <w:pStyle w:val="Normal"/>
        <w:numPr>
          <w:ilvl w:val="0"/>
          <w:numId w:val="0"/>
        </w:numPr>
        <w:spacing w:before="240" w:after="0"/>
        <w:outlineLvl w:val="0"/>
        <w:rPr>
          <w:bCs/>
          <w:kern w:val="2"/>
        </w:rPr>
      </w:pPr>
      <w:r>
        <w:rPr/>
        <w:t xml:space="preserve">Приложение №1: </w:t>
      </w:r>
      <w:r>
        <w:rPr>
          <w:bCs/>
          <w:kern w:val="2"/>
        </w:rPr>
        <w:t>Перечень исполнительной документации оформляемой подрядной строительной организацией  при строительстве наружных сетей водоснабжения.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lineRule="auto" w:line="276"/>
        <w:ind w:left="-567" w:right="-284" w:hanging="0"/>
        <w:rPr>
          <w:rFonts w:cs="Tahoma"/>
        </w:rPr>
      </w:pPr>
      <w:r>
        <w:rPr>
          <w:rFonts w:cs="Tahoma"/>
        </w:rPr>
        <w:t>Первый заместитель главного управляющего директора</w:t>
      </w:r>
    </w:p>
    <w:p>
      <w:pPr>
        <w:pStyle w:val="Normal"/>
        <w:spacing w:lineRule="auto" w:line="276"/>
        <w:ind w:left="-567" w:right="-284" w:hanging="0"/>
        <w:rPr/>
      </w:pPr>
      <w:r>
        <w:rPr>
          <w:rFonts w:cs="Tahoma"/>
        </w:rPr>
        <w:t>ООО «Самарские коммунальные системы»                                                                       Д.С. Ракицкий</w:t>
      </w:r>
    </w:p>
    <w:p>
      <w:pPr>
        <w:pStyle w:val="Normal"/>
        <w:spacing w:before="240" w:after="0"/>
        <w:rPr/>
      </w:pPr>
      <w:r>
        <w:rPr/>
      </w:r>
    </w:p>
    <w:sectPr>
      <w:type w:val="nextPage"/>
      <w:pgSz w:w="11906" w:h="16838"/>
      <w:pgMar w:left="1701" w:right="850" w:header="0" w:top="1134" w:footer="0" w:bottom="99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ylfaen"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01"/>
    <w:family w:val="roman"/>
    <w:pitch w:val="variable"/>
  </w:font>
  <w:font w:name="Tahoma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-63" w:hanging="360"/>
      </w:pPr>
    </w:lvl>
    <w:lvl w:ilvl="1">
      <w:start w:val="1"/>
      <w:numFmt w:val="lowerLetter"/>
      <w:lvlText w:val="%2."/>
      <w:lvlJc w:val="left"/>
      <w:pPr>
        <w:ind w:left="657" w:hanging="360"/>
      </w:pPr>
    </w:lvl>
    <w:lvl w:ilvl="2">
      <w:start w:val="1"/>
      <w:numFmt w:val="lowerRoman"/>
      <w:lvlText w:val="%3."/>
      <w:lvlJc w:val="right"/>
      <w:pPr>
        <w:ind w:left="1377" w:hanging="180"/>
      </w:pPr>
    </w:lvl>
    <w:lvl w:ilvl="3">
      <w:start w:val="1"/>
      <w:numFmt w:val="decimal"/>
      <w:lvlText w:val="%4."/>
      <w:lvlJc w:val="left"/>
      <w:pPr>
        <w:ind w:left="2097" w:hanging="360"/>
      </w:pPr>
    </w:lvl>
    <w:lvl w:ilvl="4">
      <w:start w:val="1"/>
      <w:numFmt w:val="lowerLetter"/>
      <w:lvlText w:val="%5."/>
      <w:lvlJc w:val="left"/>
      <w:pPr>
        <w:ind w:left="2817" w:hanging="360"/>
      </w:pPr>
    </w:lvl>
    <w:lvl w:ilvl="5">
      <w:start w:val="1"/>
      <w:numFmt w:val="lowerRoman"/>
      <w:lvlText w:val="%6."/>
      <w:lvlJc w:val="right"/>
      <w:pPr>
        <w:ind w:left="3537" w:hanging="180"/>
      </w:pPr>
    </w:lvl>
    <w:lvl w:ilvl="6">
      <w:start w:val="1"/>
      <w:numFmt w:val="decimal"/>
      <w:lvlText w:val="%7."/>
      <w:lvlJc w:val="left"/>
      <w:pPr>
        <w:ind w:left="4257" w:hanging="360"/>
      </w:pPr>
    </w:lvl>
    <w:lvl w:ilvl="7">
      <w:start w:val="1"/>
      <w:numFmt w:val="lowerLetter"/>
      <w:lvlText w:val="%8."/>
      <w:lvlJc w:val="left"/>
      <w:pPr>
        <w:ind w:left="4977" w:hanging="360"/>
      </w:pPr>
    </w:lvl>
    <w:lvl w:ilvl="8">
      <w:start w:val="1"/>
      <w:numFmt w:val="lowerRoman"/>
      <w:lvlText w:val="%9."/>
      <w:lvlJc w:val="right"/>
      <w:pPr>
        <w:ind w:left="5697" w:hanging="18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0"/>
  <w:defaultTabStop w:val="367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8f7c08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qFormat/>
    <w:rsid w:val="008f7c08"/>
    <w:pPr>
      <w:keepNext w:val="true"/>
      <w:jc w:val="center"/>
      <w:outlineLvl w:val="0"/>
    </w:pPr>
    <w:rPr>
      <w:rFonts w:ascii="Arial" w:hAnsi="Arial" w:cs="Arial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9" w:customStyle="1">
    <w:name w:val="Font Style19"/>
    <w:basedOn w:val="DefaultParagraphFont"/>
    <w:qFormat/>
    <w:rsid w:val="008773dc"/>
    <w:rPr>
      <w:rFonts w:ascii="Times New Roman" w:hAnsi="Times New Roman" w:cs="Times New Roman"/>
      <w:sz w:val="22"/>
      <w:szCs w:val="22"/>
    </w:rPr>
  </w:style>
  <w:style w:type="character" w:styleId="Appleconvertedspace" w:customStyle="1">
    <w:name w:val="apple-converted-space"/>
    <w:basedOn w:val="DefaultParagraphFont"/>
    <w:qFormat/>
    <w:rsid w:val="006c0ebb"/>
    <w:rPr/>
  </w:style>
  <w:style w:type="character" w:styleId="Style13" w:customStyle="1">
    <w:name w:val="Интернет-ссылка"/>
    <w:basedOn w:val="DefaultParagraphFont"/>
    <w:rsid w:val="0054422e"/>
    <w:rPr>
      <w:color w:val="0000FF"/>
      <w:u w:val="single"/>
    </w:rPr>
  </w:style>
  <w:style w:type="character" w:styleId="2" w:customStyle="1">
    <w:name w:val="Основной текст 2 Знак"/>
    <w:basedOn w:val="DefaultParagraphFont"/>
    <w:link w:val="2"/>
    <w:qFormat/>
    <w:rsid w:val="003e7c33"/>
    <w:rPr>
      <w:sz w:val="24"/>
      <w:szCs w:val="24"/>
    </w:rPr>
  </w:style>
  <w:style w:type="character" w:styleId="21" w:customStyle="1">
    <w:name w:val="Основной текст с отступом 2 Знак"/>
    <w:basedOn w:val="DefaultParagraphFont"/>
    <w:link w:val="21"/>
    <w:qFormat/>
    <w:rsid w:val="003e7c33"/>
    <w:rPr>
      <w:sz w:val="24"/>
      <w:szCs w:val="24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rsid w:val="008f7c08"/>
    <w:pPr/>
    <w:rPr>
      <w:rFonts w:ascii="Arial" w:hAnsi="Arial" w:cs="Arial"/>
      <w:sz w:val="20"/>
    </w:rPr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Style19">
    <w:name w:val="Body Text Indent"/>
    <w:basedOn w:val="Normal"/>
    <w:rsid w:val="008f7c08"/>
    <w:pPr>
      <w:ind w:left="6480" w:hanging="0"/>
    </w:pPr>
    <w:rPr>
      <w:rFonts w:ascii="Arial" w:hAnsi="Arial" w:cs="Arial"/>
    </w:rPr>
  </w:style>
  <w:style w:type="paragraph" w:styleId="Style81" w:customStyle="1">
    <w:name w:val="Style8"/>
    <w:basedOn w:val="Normal"/>
    <w:qFormat/>
    <w:rsid w:val="008773dc"/>
    <w:pPr>
      <w:widowControl w:val="false"/>
      <w:spacing w:lineRule="exact" w:line="276"/>
    </w:pPr>
    <w:rPr>
      <w:rFonts w:ascii="Sylfaen" w:hAnsi="Sylfaen"/>
    </w:rPr>
  </w:style>
  <w:style w:type="paragraph" w:styleId="11" w:customStyle="1">
    <w:name w:val="Абзац списка1"/>
    <w:basedOn w:val="Normal"/>
    <w:uiPriority w:val="34"/>
    <w:qFormat/>
    <w:rsid w:val="00127173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Style20" w:customStyle="1">
    <w:name w:val="Содержимое таблицы"/>
    <w:basedOn w:val="Normal"/>
    <w:qFormat/>
    <w:rsid w:val="0088497e"/>
    <w:pPr>
      <w:widowControl w:val="false"/>
      <w:suppressAutoHyphens w:val="true"/>
    </w:pPr>
    <w:rPr>
      <w:rFonts w:ascii="Arial" w:hAnsi="Arial" w:eastAsia="Lucida Sans Unicode" w:cs="Mangal"/>
      <w:sz w:val="20"/>
      <w:lang w:eastAsia="hi-IN" w:bidi="hi-IN"/>
    </w:rPr>
  </w:style>
  <w:style w:type="paragraph" w:styleId="ListParagraph">
    <w:name w:val="List Paragraph"/>
    <w:basedOn w:val="Normal"/>
    <w:uiPriority w:val="34"/>
    <w:qFormat/>
    <w:rsid w:val="008f4fd1"/>
    <w:pPr>
      <w:suppressAutoHyphens w:val="true"/>
      <w:spacing w:lineRule="auto" w:line="276" w:before="0" w:after="200"/>
      <w:ind w:left="720" w:hanging="0"/>
      <w:contextualSpacing/>
    </w:pPr>
    <w:rPr>
      <w:rFonts w:ascii="Calibri" w:hAnsi="Calibri" w:eastAsia="Calibri" w:cs="Calibri"/>
      <w:sz w:val="22"/>
      <w:szCs w:val="22"/>
      <w:lang w:eastAsia="ar-SA"/>
    </w:rPr>
  </w:style>
  <w:style w:type="paragraph" w:styleId="BodyText2">
    <w:name w:val="Body Text 2"/>
    <w:basedOn w:val="Normal"/>
    <w:link w:val="20"/>
    <w:qFormat/>
    <w:rsid w:val="003e7c33"/>
    <w:pPr>
      <w:spacing w:lineRule="auto" w:line="480" w:before="0" w:after="120"/>
    </w:pPr>
    <w:rPr/>
  </w:style>
  <w:style w:type="paragraph" w:styleId="BodyTextIndent2">
    <w:name w:val="Body Text Indent 2"/>
    <w:basedOn w:val="Normal"/>
    <w:link w:val="22"/>
    <w:qFormat/>
    <w:rsid w:val="003e7c33"/>
    <w:pPr>
      <w:spacing w:lineRule="auto" w:line="480" w:before="0" w:after="120"/>
      <w:ind w:left="283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ks@samcomsys.ru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55183-10C2-468E-B597-138E63904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Application>LibreOffice/6.3.4.2$Windows_X86_64 LibreOffice_project/60da17e045e08f1793c57c00ba83cdfce946d0aa</Application>
  <Pages>5</Pages>
  <Words>1142</Words>
  <Characters>8478</Characters>
  <CharactersWithSpaces>9834</CharactersWithSpaces>
  <Paragraphs>134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2017-01-19T03:19:00Z</dcterms:created>
  <dc:creator>WASQ</dc:creator>
  <dc:description/>
  <dc:language>ru-RU</dc:language>
  <cp:lastModifiedBy/>
  <cp:lastPrinted>2018-09-17T13:38:00Z</cp:lastPrinted>
  <dcterms:modified xsi:type="dcterms:W3CDTF">2021-08-17T16:23:12Z</dcterms:modified>
  <cp:revision>70</cp:revision>
  <dc:subject/>
  <dc:title>УТВЕРЖДАЮ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