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false"/>
        <w:bidi w:val="0"/>
        <w:ind w:left="0" w:right="0" w:firstLine="11"/>
        <w:jc w:val="left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 xml:space="preserve">Приложение № ____ к договору генподряда </w:t>
        <w:br/>
        <w:t xml:space="preserve">       </w:t>
        <w:tab/>
        <w:tab/>
        <w:tab/>
        <w:tab/>
        <w:tab/>
        <w:tab/>
        <w:tab/>
        <w:tab/>
        <w:tab/>
        <w:tab/>
        <w:tab/>
        <w:t>от «___» ____________202__г. № _________</w:t>
      </w:r>
    </w:p>
    <w:p>
      <w:pPr>
        <w:pStyle w:val="Normal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overflowPunct w:val="false"/>
        <w:bidi w:val="0"/>
        <w:ind w:left="0" w:right="0" w:firstLine="11"/>
        <w:jc w:val="left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120" w:after="120"/>
        <w:contextualSpacing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СКС-2021-ХВ-ИП-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6.1.19.1-13.1</w:t>
      </w:r>
      <w:r>
        <w:rPr>
          <w:b/>
          <w:sz w:val="24"/>
          <w:szCs w:val="24"/>
        </w:rPr>
        <w:br/>
      </w:r>
      <w:r>
        <w:rPr>
          <w:rFonts w:eastAsia="Times New Roman" w:cs="Tahoma"/>
          <w:b/>
          <w:bCs/>
          <w:color w:val="000000"/>
          <w:sz w:val="24"/>
          <w:szCs w:val="24"/>
          <w:lang w:val="ru-RU" w:eastAsia="ru-RU" w:bidi="ar-SA"/>
        </w:rPr>
        <w:t>по о</w:t>
      </w:r>
      <w:r>
        <w:rPr>
          <w:rFonts w:cs="Tahoma"/>
          <w:b/>
          <w:bCs/>
          <w:sz w:val="24"/>
          <w:szCs w:val="24"/>
          <w:lang w:val="ru-RU" w:eastAsia="zh-CN" w:bidi="ar-SA"/>
        </w:rPr>
        <w:t>бъекту «</w:t>
      </w:r>
      <w:r>
        <w:rPr>
          <w:rFonts w:eastAsia="Times New Roman" w:cs="Tahoma"/>
          <w:b/>
          <w:bCs/>
          <w:color w:val="000000"/>
          <w:kern w:val="0"/>
          <w:sz w:val="24"/>
          <w:szCs w:val="24"/>
          <w:lang w:val="ru-RU" w:eastAsia="zh-CN" w:bidi="ar-SA"/>
        </w:rPr>
        <w:t>Водопроводная линия Дн-110 мм»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9611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616"/>
        <w:gridCol w:w="2716"/>
        <w:gridCol w:w="6279"/>
      </w:tblGrid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color w:val="00000A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Договор о подключении (технологическом присоединении) к централизованной системе водоснабжения объекта «П</w:t>
            </w:r>
            <w:bookmarkStart w:id="0" w:name="__DdeLink__907_1974649302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роизводственное здание и нежилое помещение», расположенного по адресу: г. Самара, Железнодорожный район, ул. Неверова, д. 39.</w:t>
            </w:r>
            <w:bookmarkEnd w:id="0"/>
          </w:p>
        </w:tc>
      </w:tr>
      <w:tr>
        <w:trPr>
          <w:trHeight w:val="441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113" w:after="113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113" w:after="113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документация, разделы проектной документации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 — 1.2.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  <w:lang w:val="en-US"/>
              </w:rPr>
              <w:t>4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 xml:space="preserve"> к настоящему Заданию на проектирование (далее —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76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г. Самара,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2"/>
                <w:sz w:val="24"/>
                <w:szCs w:val="24"/>
                <w:lang w:val="ru-RU" w:eastAsia="zh-CN" w:bidi="ar-SA"/>
              </w:rPr>
              <w:t>Железнодорожный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район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Схема места положения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проектируемых сетей водоснабжения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прилагается (Приложение №1.2.2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в том числе  технических условий, кадастровых выписок,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действия в объеме, необходимом для выполнения, согласования инженерных изысканий, при необходимости — археологических изысканий, разработки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разработки, согласования документации; прохождении, при необходимости, историко-культурной экспертизы.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>6.2. Выполнить в соответствии с нормативно-техническими требованиями, с учетом степени изученности территории, наличия изысканий инженерно-геодезические, инженерно-геологические изыскания, при необходимости - археологические изыскания в объеме, необходимом для разработки схемы границ предполагаемых к использованию земель, проектирования  сетей водоснабжения и сооружений на них.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6.3. </w:t>
            </w: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При наличии по проектируемой трассе зеленых насаждений указать контуры древесной растительности и отдельно стоящие деревья (нанести породу дерева, диаметр).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6.4. На съемке нанести и обновить все существующие подземные и надземные сооружения и коммуникации с указанием всех характеристик, в том числе: глубины или высоты их заложения, типа коммуникаций, диаметра, материала исполнения, глубины близлежащих колодцев с указанием отметки дна колодца и отметки верха трубы, находящейся в этом колодце.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6.5. На съемке и плане сетей нанести границы всех попадающих в зону проектирования земельных участков, в том числе стоящих на кадастре с указанием кадастрового номера.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6.6. На съемке указать существующие и вновь закладываемые в районе объекта строительства реперы (на капитальном объекте, не подлежащем демонтажу с привязками к местности).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дать их в натуре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6.7. </w:t>
            </w:r>
            <w:r>
              <w:rPr>
                <w:rFonts w:eastAsia="Arial" w:cs="Tahoma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Выполнить согласование результатов инженерных изысканий с соответствующими заинтересованными третьими лицами, эксплуатационными и государственными организациями, в том числе с Департаментом градостроительства г.о. Самара. Подлинники согласований предоставить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6.8.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val="ru-RU" w:eastAsia="zh-CN" w:bidi="ar-SA"/>
              </w:rPr>
              <w:t>в системе координат, используемой для ведения</w:t>
            </w:r>
            <w:bookmarkStart w:id="1" w:name="P02691111"/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val="ru-RU" w:eastAsia="zh-CN" w:bidi="ar-SA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val="ru-RU" w:eastAsia="ar-SA" w:bidi="ar-SA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6.9.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документацию для строительства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6.10.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 составе документации разработать: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пояснительную записку;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 проект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рабочую документацию на технологические и конструктивные решения устройства сетей водоснабжения и сооружений на них в объеме, необходимом для производства работ;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 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6.11.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Выполнить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val="ru-RU" w:eastAsia="ar-SA"/>
              </w:rPr>
              <w:t xml:space="preserve"> спецификации оборудования и материалов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6.12.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Выполнить согласование 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 города,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проектируемой трассы сетей и сооружений на них, с Департаментом градостроительства г.о. Самара; с Заказчиком объекта подключения — в части «увязки» проектируемых сетей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/>
              </w:rPr>
              <w:t>внутриплощадочными/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внутренними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сетями объекта подключения.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6.13. </w:t>
            </w:r>
            <w:bookmarkStart w:id="2" w:name="__DdeLink__4228_3718102064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Провести при необходимости 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сторико-культурную экспертизу с получением положительного заключения.</w:t>
            </w:r>
            <w:bookmarkEnd w:id="2"/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6.14.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АО «РКС-Менеджмент»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по требованию организации, выигравшей конкурс).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одопроводная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сеть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Дн-110 мм протяженностью ориентировочно 85 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9.2. Пожарные гидранты — по нормам.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9.3. Размер нагрузки объекта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подключения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 составляет 8,85 </w:t>
            </w:r>
            <w:bookmarkStart w:id="3" w:name="__DdeLink__936_28675357801"/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м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em w:val="none"/>
                <w:lang w:val="ru-RU" w:eastAsia="zh-CN" w:bidi="ar-SA"/>
              </w:rPr>
              <w:t>3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/</w:t>
            </w:r>
            <w:bookmarkEnd w:id="3"/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сут.</w:t>
            </w:r>
          </w:p>
          <w:p>
            <w:pPr>
              <w:pStyle w:val="BodyTextIndent2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Выполнить подготовку и получение всех необходимых исходных и дополнительных данных, в том числе  технических условий, кадастровых выписок,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действия в объеме, необходимом для выполнения, согласования инженерных изысканий, при необходимости — археологических изысканий, разработки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, для разработки, согласования документации; прохождении, при необходимости, историко-культурной экспертизы. 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спецификации оборудования и материалов с разделением 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10.3.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10.4. Провести при необходимости 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сторико-культурную экспертизу с получением положительного заключения.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кспертизу и все необходимые согласования  документации с заинтересованными и эксплуатирующими сетевыми организациями, органами местного самоуправления,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согласовании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10.8.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Генподрядчик выполняет собственными силами и/или организовывает и координирует работу, в том числе по проведению инженерных изысканий, субподрядных организаций, а так же несет ответственность за достоверность, качество и полноту выполненных инженерных изысканий,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Заказчика.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10.9.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 случае ненадлежащего составления проекта и выполнения изыскательских работ, а также в случае обнаружения Заказчиком недостатков в ходе строительства объекта и в процессе эксплуатации объекта, созданного на основе разработанной Генподрядчиком документации и данных изыскательских работ, Генподрядчик обязан возместить Заказчику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10.11.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val="ru-RU" w:eastAsia="ar-SA" w:bidi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С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выполнить в системе координат, используемой для ведения</w:t>
            </w:r>
            <w:bookmarkStart w:id="4" w:name="P026911111111"/>
            <w:bookmarkEnd w:id="4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113" w:after="113"/>
              <w:ind w:left="57" w:right="0" w:hanging="0"/>
              <w:jc w:val="both"/>
              <w:rPr/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6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Документацию для строительства водопровод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и сооружений на нем для технологического присоединения объекта капитального строительства к централизованным системам холодного водоснабжения разработать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нормативно-техническими документами и требованиями, действующими на момент выдачи документации Заказчику, а так же с учетом существующей градостроительной ситуации и на основе выполненных инженерных изысканий, выданных и полученных технических условий и настоящего ЗП.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12.2. Определить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с учетом требований действующего законодательства РФ,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с учетом существующей градостроительной ситуации (в том числе наличия прав третьих лиц), с учетом места расположения внутренних и внутриплощадочных сетей объектов подключения,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трассу сетей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способ производства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12.3.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12.4.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АО «РКС-Менеджмент»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>наиболее подходящий вариант с учетом экономической эффективности строительства и последующей эксплуатации.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12.5. Разработать документацию для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строительства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в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одопровода Дн-110 мм от водопровода Д-100 мм в районе дома №204 по ул. Набережная реки Самара до границы земельного участка объекта подключения «П</w:t>
            </w: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роизводственное здание и нежилое помещение», расположенного по адресу: г. Самара, Железнодорожный район, ул. Неверова, д. 39.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>протяженностью ориентировочно 85 м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12.6. </w:t>
            </w: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На границе </w:t>
            </w:r>
            <w:bookmarkStart w:id="5" w:name="__DdeLink__918_4281786060"/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  <w:lang w:val="ru-RU"/>
              </w:rPr>
              <w:t>земельного участка объекта подключения</w:t>
            </w:r>
            <w:bookmarkEnd w:id="5"/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 предусмотреть установку отключающей его запорной арматуры.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  <w:lang w:val="ru-RU"/>
              </w:rPr>
              <w:t>12.7. Предусмотреть в колодце на границе земельного участка объекта подключения место для установки узла учета воды.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12.8. Рассмотреть возможность применения метода бесколодезной установки запорной арматуры и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12.9. Предусмотреть установку пожарных гидрантов в соответствии с нормативными требованиями.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12.10. Проектные решения по устройству водопровода «увязать» с внутриплощадочными/внутренними водопроводными сетями объекта подключения.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12.11.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12.12.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ru-RU" w:bidi="ar-SA"/>
              </w:rPr>
              <w:t xml:space="preserve">12.13.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en-US" w:bidi="ar-SA"/>
              </w:rPr>
              <w:t>3-2015).</w:t>
            </w:r>
            <w:bookmarkStart w:id="6" w:name="__DdeLink__4934_984431242"/>
            <w:bookmarkEnd w:id="6"/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эксплуатация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overflowPunct w:val="false"/>
              <w:bidi w:val="0"/>
              <w:spacing w:before="57" w:after="0"/>
              <w:ind w:left="57" w:right="0" w:hanging="0"/>
              <w:jc w:val="left"/>
              <w:rPr/>
            </w:pPr>
            <w:r>
              <w:rPr/>
              <w:t>Не требуется</w:t>
            </w:r>
          </w:p>
        </w:tc>
      </w:tr>
      <w:tr>
        <w:trPr>
          <w:trHeight w:val="870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51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PlainText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.+7(846)336-14-02, </w:t>
            </w:r>
            <w:r>
              <w:rPr>
                <w:i w:val="false"/>
                <w:iCs w:val="false"/>
                <w:sz w:val="24"/>
                <w:szCs w:val="24"/>
              </w:rPr>
              <w:t>факс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 +7(846)336-89-05</w:t>
            </w:r>
          </w:p>
        </w:tc>
      </w:tr>
      <w:tr>
        <w:trPr>
          <w:trHeight w:val="603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113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Не требуются.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3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113" w:after="113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при необходимости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отчеты по результатам инженерн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изысканий, при 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аличии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археологических изысканий для проектирования сетей водоснабжения для присоединения объекта капитального строительства;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документацию, в том числе опросные листы;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7" w:name="P0269112"/>
            <w:bookmarkEnd w:id="7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 с сетевыми и другими необходимыми/ заинтересованными организациями, лицами, в том числе с собственниками земельных участков, по которым возможно будет прохождение проектируемой трассы сетей и сооружений на них, с государственными органами, в том числе с Департаментом градостроительства г.о. Самара; с Заказчиком объекта подключения в части «увязки» сетей;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при наличии положительное заключение историко-культурной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экспертизы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i w:val="false"/>
                <w:iCs w:val="false"/>
                <w:sz w:val="24"/>
                <w:szCs w:val="24"/>
              </w:rPr>
              <w:t>пецификации по всем разделам выдать в том числе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Генподрядчик передает отчеты по результатам инженерных изысканий,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подлинники всех полученных исходных и дополнительных данных,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иные документы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4-х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8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8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9" w:name="__DdeLink__1651_3885646754"/>
            <w:bookmarkStart w:id="10" w:name="__DdeLink__10307_545458976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9"/>
            <w:bookmarkEnd w:id="10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 маркировка с указанием: наименование и тип документации, Заказчика, Исполнителя, даты изготовления электронной версии, порядкового номера 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флеш-накопителя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флеш-накопитель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11" w:name="_GoBack"/>
            <w:bookmarkEnd w:id="11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данные, заключение экспертизы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материалов, опросные листы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bookmarkStart w:id="12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12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6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7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2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8" w:right="28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/>
          <w:b/>
          <w:bCs/>
          <w:i w:val="false"/>
          <w:i w:val="false"/>
          <w:iCs w:val="false"/>
          <w:color w:val="00000A"/>
          <w:sz w:val="24"/>
          <w:szCs w:val="24"/>
          <w:u w:val="single"/>
        </w:rPr>
      </w:pP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single"/>
        </w:rPr>
        <w:t>Приложения: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1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2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№ТУ-05-0421 от 30.04.2021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13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проектируем</w:t>
      </w:r>
      <w:bookmarkEnd w:id="13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ой  водопроводной линии.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Приложение №1.2.3 Копия Свидетельства о государственной регистрации права на земельный участок объекта подключения с кадастровым номером 63:01:0106005:0010.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Приложение №1.2.4 Копия Свидетельства о государственной регистрации права на земельный участок объекта подключения с кадастровым номером 63:01:0106005:0005.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>
          <w:rFonts w:eastAsia="Times New Roman" w:cs="Tahoma"/>
          <w:b w:val="false"/>
          <w:b w:val="false"/>
          <w:bCs w:val="false"/>
          <w:i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28" w:after="28"/>
        <w:ind w:left="57" w:right="57" w:hanging="0"/>
        <w:jc w:val="both"/>
        <w:rPr/>
      </w:pPr>
      <w:bookmarkStart w:id="14" w:name="__DdeLink__4679_3386870990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Заказчик объекта подключения — Общество с ограниченной ответственностью «Фирма «Лиронас», конт.лицо: Максимов Альберт Александрович, тел. 8 (927) 202-73-</w:t>
      </w:r>
      <w:bookmarkEnd w:id="14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 xml:space="preserve">84, эл.почта: 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en-US" w:eastAsia="ru-RU" w:bidi="ar-SA"/>
        </w:rPr>
        <w:t>maximov@lironas.ru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.</w:t>
      </w:r>
    </w:p>
    <w:p>
      <w:pPr>
        <w:pStyle w:val="ConsPlusNormal"/>
        <w:widowControl w:val="false"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4"/>
          <w:szCs w:val="24"/>
          <w:highlight w:val="white"/>
          <w:u w:val="none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19"/>
        <w:keepLines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cs="Tahoma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>
                <w:rFonts w:ascii="Times New Roman" w:hAnsi="Times New Roman" w:eastAsia="Times New Roman"/>
                <w:b/>
                <w:b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lang w:val="ru-RU" w:eastAsia="ru-RU"/>
              </w:rPr>
            </w:pPr>
            <w:r>
              <w:rPr>
                <w:rFonts w:eastAsia="Times New Roman" w:cs="Tahoma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</w:t>
              <w:tab/>
              <w:t xml:space="preserve">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eastAsia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 xml:space="preserve">      (                                         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1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408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408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false"/>
      <w:bidi w:val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408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408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408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408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408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fals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fals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false"/>
      <w:bidi w:val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408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408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408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fals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fals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Application>LibreOffice/6.3.0.4$Windows_X86_64 LibreOffice_project/057fc023c990d676a43019934386b85b21a9ee99</Application>
  <Pages>11</Pages>
  <Words>2861</Words>
  <Characters>21640</Characters>
  <CharactersWithSpaces>24656</CharactersWithSpaces>
  <Paragraphs>235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2020-08-10T08:46:19Z</cp:lastPrinted>
  <dcterms:modified xsi:type="dcterms:W3CDTF">2021-08-18T17:05:17Z</dcterms:modified>
  <cp:revision>180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